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91F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1F">
        <w:rPr>
          <w:rFonts w:ascii="Times New Roman" w:hAnsi="Times New Roman" w:cs="Times New Roman"/>
          <w:b/>
          <w:bCs/>
          <w:sz w:val="24"/>
          <w:szCs w:val="24"/>
        </w:rPr>
        <w:t>ВЕРХНЕПОГРОМЕНСКОГО СЕЛЬСКОГО ПОСЕЛЕНИЯ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1F">
        <w:rPr>
          <w:rFonts w:ascii="Times New Roman" w:hAnsi="Times New Roman" w:cs="Times New Roman"/>
          <w:b/>
          <w:bCs/>
          <w:sz w:val="24"/>
          <w:szCs w:val="24"/>
        </w:rPr>
        <w:t xml:space="preserve">СРЕДНЕАХТУБИНСКОГО  РАЙОНА  </w:t>
      </w:r>
      <w:r w:rsidRPr="009D391F">
        <w:rPr>
          <w:rFonts w:ascii="Times New Roman" w:hAnsi="Times New Roman" w:cs="Times New Roman"/>
          <w:b/>
          <w:bCs/>
        </w:rPr>
        <w:t xml:space="preserve">  </w:t>
      </w:r>
      <w:r w:rsidRPr="009D391F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 ОБЛАСТИ  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391F">
        <w:rPr>
          <w:rFonts w:ascii="Times New Roman" w:hAnsi="Times New Roman" w:cs="Times New Roman"/>
          <w:bCs/>
        </w:rPr>
        <w:t xml:space="preserve">  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D391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D391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D391F">
        <w:rPr>
          <w:rFonts w:ascii="Times New Roman" w:hAnsi="Times New Roman" w:cs="Times New Roman"/>
          <w:sz w:val="28"/>
          <w:szCs w:val="28"/>
          <w:lang w:eastAsia="ru-RU"/>
        </w:rPr>
        <w:t>24 марта  2017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D391F">
        <w:rPr>
          <w:rFonts w:ascii="Times New Roman" w:hAnsi="Times New Roman" w:cs="Times New Roman"/>
          <w:sz w:val="28"/>
          <w:szCs w:val="28"/>
          <w:lang w:eastAsia="ru-RU"/>
        </w:rPr>
        <w:t>89/155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EE1341" w:rsidRDefault="00060E19" w:rsidP="00EE1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AC0D20"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общественном обсуждении п</w:t>
      </w:r>
      <w:r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роекта муниципальной программы </w:t>
      </w:r>
      <w:r w:rsidR="00AC5704"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 современной городской </w:t>
      </w:r>
      <w:r w:rsidR="00AC0D20"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среды </w:t>
      </w:r>
      <w:r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AC0D20"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Волгоградской области</w:t>
      </w:r>
      <w:r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5704"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EE1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2017 год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целях  реализации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E19" w:rsidRPr="00060E19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области,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сельская Дума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E19" w:rsidRPr="00060E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сельского поселения Среднеахтубинского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proofErr w:type="spellStart"/>
      <w:proofErr w:type="gramStart"/>
      <w:r w:rsidR="009D391F" w:rsidRPr="009D3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="009D391F" w:rsidRPr="009D3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="009D391F" w:rsidRPr="009D3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9D391F" w:rsidRPr="009D3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л а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1.Создать общественную комиссию </w:t>
      </w:r>
      <w:r w:rsidR="00060E19" w:rsidRPr="00060E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сельского поселения Среднеахтубинского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для организации общественного обсуждения проекта муниципальной программы «Формирование современной городской среды </w:t>
      </w:r>
      <w:r w:rsidR="00060E19" w:rsidRPr="00060E19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на 2017 год» (далее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общественная комиссия) в составе согласно приложению 1 к настоящему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Положение об общественной комиссии </w:t>
      </w:r>
      <w:r w:rsidR="004033F4" w:rsidRPr="004033F4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согласно приложению 2 к настоящему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 Утвердить порядок проведения об</w:t>
      </w:r>
      <w:r w:rsidR="00403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щественного обсуждения проекта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 </w:t>
      </w:r>
      <w:r w:rsidR="00D761B4">
        <w:rPr>
          <w:rFonts w:ascii="Times New Roman" w:hAnsi="Times New Roman" w:cs="Times New Roman"/>
          <w:bCs/>
          <w:sz w:val="28"/>
          <w:szCs w:val="28"/>
          <w:lang w:eastAsia="ru-RU"/>
        </w:rPr>
        <w:t>"Ф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ормирования  современной городской среды </w:t>
      </w:r>
      <w:r w:rsidR="004033F4" w:rsidRPr="004033F4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403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D761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 2017 год</w:t>
      </w:r>
      <w:r w:rsidR="00D761B4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приложению 3.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 Настоящее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вступает в силу со дня его подписания и подлежит опубликованию.</w:t>
      </w:r>
    </w:p>
    <w:p w:rsidR="00AC0D20" w:rsidRPr="003F73A2" w:rsidRDefault="00AC0D20" w:rsidP="009D39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возложить на главного специалиста Королёву А.М.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476C8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476C88" w:rsidRDefault="00476C8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C5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К.К. Башулов</w:t>
      </w:r>
    </w:p>
    <w:bookmarkEnd w:id="0"/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391F" w:rsidRPr="003F73A2" w:rsidRDefault="009D391F" w:rsidP="009D39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476C88" w:rsidP="00476C8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476C88" w:rsidRDefault="00AC0D20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сельской Думы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</w:t>
      </w:r>
    </w:p>
    <w:p w:rsidR="00476C88" w:rsidRDefault="00476C88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476C88" w:rsidRDefault="00476C88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Среднеахтубинского района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24 марта 2017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89/155</w:t>
      </w:r>
    </w:p>
    <w:p w:rsidR="00AC0D20" w:rsidRPr="003F73A2" w:rsidRDefault="00AC0D20" w:rsidP="00F04F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 проекта муниципальной программы «Формирование современной городской</w:t>
      </w:r>
      <w:r w:rsidR="00F04F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88"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на 2017 год»</w:t>
      </w:r>
    </w:p>
    <w:p w:rsidR="002B3F7C" w:rsidRPr="003F73A2" w:rsidRDefault="002B3F7C" w:rsidP="002B3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76"/>
        <w:gridCol w:w="8045"/>
      </w:tblGrid>
      <w:tr w:rsidR="002B3F7C" w:rsidTr="00F04F8C">
        <w:tc>
          <w:tcPr>
            <w:tcW w:w="2376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Башулов Куат Куангалиевич</w:t>
            </w:r>
          </w:p>
        </w:tc>
        <w:tc>
          <w:tcPr>
            <w:tcW w:w="8045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 глава Верхнепогроменского сельского поселения</w:t>
            </w:r>
          </w:p>
        </w:tc>
      </w:tr>
      <w:tr w:rsidR="002B3F7C" w:rsidTr="00F04F8C">
        <w:tc>
          <w:tcPr>
            <w:tcW w:w="2376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Королёва Анна Михайловна</w:t>
            </w:r>
          </w:p>
        </w:tc>
        <w:tc>
          <w:tcPr>
            <w:tcW w:w="8045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главный специалист администрации Верхнепогроменского сельского поселения</w:t>
            </w:r>
          </w:p>
        </w:tc>
      </w:tr>
      <w:tr w:rsidR="002B3F7C" w:rsidTr="00F04F8C">
        <w:tc>
          <w:tcPr>
            <w:tcW w:w="2376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Джумалиева Алия Жуматовна</w:t>
            </w:r>
          </w:p>
        </w:tc>
        <w:tc>
          <w:tcPr>
            <w:tcW w:w="8045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ведущий специалист </w:t>
            </w:r>
            <w:r w:rsidR="000413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Верхнепогроменского сельского поселения</w:t>
            </w:r>
          </w:p>
        </w:tc>
      </w:tr>
      <w:tr w:rsidR="000413DD" w:rsidTr="00F04F8C">
        <w:tc>
          <w:tcPr>
            <w:tcW w:w="2376" w:type="dxa"/>
          </w:tcPr>
          <w:p w:rsidR="000413DD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Попова Дарья Александровна</w:t>
            </w:r>
          </w:p>
        </w:tc>
        <w:tc>
          <w:tcPr>
            <w:tcW w:w="8045" w:type="dxa"/>
          </w:tcPr>
          <w:p w:rsidR="000413DD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специалист 1 категории администрации Верхнепогроменского сельского поселения</w:t>
            </w:r>
          </w:p>
        </w:tc>
      </w:tr>
      <w:tr w:rsidR="002B3F7C" w:rsidTr="00F04F8C">
        <w:tc>
          <w:tcPr>
            <w:tcW w:w="10421" w:type="dxa"/>
            <w:gridSpan w:val="2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F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Члены общественной комиссии:</w:t>
            </w:r>
          </w:p>
        </w:tc>
      </w:tr>
      <w:tr w:rsidR="002B3F7C" w:rsidTr="00F04F8C">
        <w:tc>
          <w:tcPr>
            <w:tcW w:w="2376" w:type="dxa"/>
          </w:tcPr>
          <w:p w:rsidR="000413DD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Корнеев Николай Львович</w:t>
            </w:r>
          </w:p>
        </w:tc>
        <w:tc>
          <w:tcPr>
            <w:tcW w:w="8045" w:type="dxa"/>
          </w:tcPr>
          <w:p w:rsidR="000413DD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депутат сельской Думы</w:t>
            </w:r>
          </w:p>
        </w:tc>
      </w:tr>
      <w:tr w:rsidR="002B3F7C" w:rsidTr="00F04F8C">
        <w:tc>
          <w:tcPr>
            <w:tcW w:w="2376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Шевлягина </w:t>
            </w:r>
            <w:r w:rsidR="000413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8045" w:type="dxa"/>
          </w:tcPr>
          <w:p w:rsidR="002B3F7C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F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депутат сельской Думы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председатель ТОС «Любава»</w:t>
            </w:r>
            <w:r w:rsidR="00F04F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0413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секретарь партии «Единая России» </w:t>
            </w:r>
          </w:p>
        </w:tc>
      </w:tr>
      <w:tr w:rsidR="002B3F7C" w:rsidTr="00F04F8C">
        <w:tc>
          <w:tcPr>
            <w:tcW w:w="2376" w:type="dxa"/>
          </w:tcPr>
          <w:p w:rsidR="002B3F7C" w:rsidRDefault="00FC191E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Шалдо</w:t>
            </w:r>
            <w:r w:rsidR="002B3F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Юрий Михайлович</w:t>
            </w:r>
          </w:p>
        </w:tc>
        <w:tc>
          <w:tcPr>
            <w:tcW w:w="8045" w:type="dxa"/>
          </w:tcPr>
          <w:p w:rsidR="002B3F7C" w:rsidRDefault="00FC191E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9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депутат сельской Думы</w:t>
            </w:r>
          </w:p>
        </w:tc>
      </w:tr>
      <w:tr w:rsidR="002B3F7C" w:rsidTr="00F04F8C">
        <w:tc>
          <w:tcPr>
            <w:tcW w:w="2376" w:type="dxa"/>
          </w:tcPr>
          <w:p w:rsidR="002B3F7C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Юдина Анастасия Владимировна</w:t>
            </w:r>
          </w:p>
        </w:tc>
        <w:tc>
          <w:tcPr>
            <w:tcW w:w="8045" w:type="dxa"/>
          </w:tcPr>
          <w:p w:rsidR="002B3F7C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депутат сельской Думы</w:t>
            </w:r>
          </w:p>
        </w:tc>
      </w:tr>
      <w:tr w:rsidR="002B3F7C" w:rsidTr="00F04F8C">
        <w:tc>
          <w:tcPr>
            <w:tcW w:w="2376" w:type="dxa"/>
          </w:tcPr>
          <w:p w:rsidR="002B3F7C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Басова Ирина Николаевна</w:t>
            </w:r>
          </w:p>
        </w:tc>
        <w:tc>
          <w:tcPr>
            <w:tcW w:w="8045" w:type="dxa"/>
          </w:tcPr>
          <w:p w:rsidR="002B3F7C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директор МОУ СОШ с. Верхнепогроменское</w:t>
            </w:r>
          </w:p>
        </w:tc>
      </w:tr>
      <w:tr w:rsidR="00FC191E" w:rsidTr="00F04F8C">
        <w:tc>
          <w:tcPr>
            <w:tcW w:w="2376" w:type="dxa"/>
          </w:tcPr>
          <w:p w:rsidR="00FC191E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Топольсков Владимир Михайлович</w:t>
            </w:r>
          </w:p>
        </w:tc>
        <w:tc>
          <w:tcPr>
            <w:tcW w:w="8045" w:type="dxa"/>
          </w:tcPr>
          <w:p w:rsidR="00FC191E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директор МУП «Верхнепогроменское ЖКХ»</w:t>
            </w:r>
          </w:p>
        </w:tc>
      </w:tr>
      <w:tr w:rsidR="00FC191E" w:rsidTr="00F04F8C">
        <w:tc>
          <w:tcPr>
            <w:tcW w:w="2376" w:type="dxa"/>
          </w:tcPr>
          <w:p w:rsidR="00FC191E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Лысенко Татьяна Сергеевна</w:t>
            </w:r>
          </w:p>
        </w:tc>
        <w:tc>
          <w:tcPr>
            <w:tcW w:w="8045" w:type="dxa"/>
          </w:tcPr>
          <w:p w:rsidR="00FC191E" w:rsidRDefault="00F04F8C" w:rsidP="008B64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директор МКУК «Верхнепогроменский СДК»</w:t>
            </w:r>
          </w:p>
        </w:tc>
      </w:tr>
      <w:tr w:rsidR="00F04F8C" w:rsidTr="00F04F8C">
        <w:tc>
          <w:tcPr>
            <w:tcW w:w="2376" w:type="dxa"/>
          </w:tcPr>
          <w:p w:rsidR="00F04F8C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Журавлев Сергей Григорьевич</w:t>
            </w:r>
          </w:p>
        </w:tc>
        <w:tc>
          <w:tcPr>
            <w:tcW w:w="8045" w:type="dxa"/>
          </w:tcPr>
          <w:p w:rsidR="00F04F8C" w:rsidRDefault="00F04F8C" w:rsidP="008B64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представитель общественности</w:t>
            </w: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7D88" w:rsidRDefault="00FA7D88" w:rsidP="00FA7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FC191E" w:rsidRDefault="00FC191E" w:rsidP="00F04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FA7D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К.К. Башулов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сельской Думы</w:t>
      </w: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Среднеахтубинского района </w:t>
      </w:r>
    </w:p>
    <w:p w:rsidR="00476C88" w:rsidRP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24 марта 2017</w:t>
      </w: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89/155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общественной комиссии для организации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AC0D20" w:rsidRPr="003F73A2" w:rsidRDefault="008850C9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"Ф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городской среды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год,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д) обсужд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ает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дизайн-проект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дворовой территории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представители органов местного самоуправления </w:t>
      </w:r>
      <w:r w:rsidR="00252A7B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политических партий и движений;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общественных организаций;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иные лица.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9. Протокол оформляется в теч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ение трех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r w:rsidR="00252A7B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области: </w:t>
      </w:r>
      <w:hyperlink r:id="rId6" w:history="1">
        <w:r w:rsidR="001178A5" w:rsidRPr="00333711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http://Верхнепогромное.рф</w:t>
        </w:r>
      </w:hyperlink>
      <w:r w:rsidR="001178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трех дней со дня 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протокола.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r w:rsidR="00E4661F" w:rsidRPr="00E4661F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7D88" w:rsidRPr="00FA7D88" w:rsidRDefault="00FA7D88" w:rsidP="00FA7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AC0D20" w:rsidRPr="003F73A2" w:rsidRDefault="00FA7D88" w:rsidP="00FA7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    К.К. Башулов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61F" w:rsidRDefault="00E466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61F" w:rsidRDefault="00E466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61F" w:rsidRDefault="00E466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9D39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 сельской Думы</w:t>
      </w: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</w:t>
      </w: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сельского поселения </w:t>
      </w: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Среднеахтубинского района </w:t>
      </w:r>
    </w:p>
    <w:p w:rsidR="0046472A" w:rsidRPr="0046472A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46472A" w:rsidP="004647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24 марта 2017</w:t>
      </w:r>
      <w:r w:rsidRPr="0046472A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89/155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общественного обсуждения проекта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 формирования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современной городской среды</w:t>
      </w:r>
      <w:r w:rsidR="00E4661F" w:rsidRPr="00E4661F">
        <w:t xml:space="preserve"> </w:t>
      </w:r>
      <w:r w:rsidR="00E4661F" w:rsidRPr="00E4661F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E466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r w:rsidR="00450326" w:rsidRPr="00450326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4503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«Формирование современной городской среды </w:t>
      </w:r>
      <w:r w:rsidR="00450326" w:rsidRPr="00450326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области» на 2017 год (далее – проект муниципальной программы).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Общественное обсуждение муниципальной программы проводится в целях: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-информирования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-учета мнения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предложений.</w:t>
      </w:r>
    </w:p>
    <w:p w:rsidR="00AC0D20" w:rsidRPr="003F73A2" w:rsidRDefault="003A7B6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r w:rsidR="00450326" w:rsidRPr="00450326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в сети Интернет.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подлежат рассмотрению замечания и предложения: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1) в которых не указаны: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2) не поддающиеся прочтению;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3) содержащие нецензурные либо оскорбительные выражения;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4)поступившие по истечении установленного срока проведения общественного обсуждения проекта муниципальной программы.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Замечания и (или) предложения направляются в электронном виде на адрес- </w:t>
      </w:r>
      <w:hyperlink r:id="rId7" w:history="1">
        <w:r w:rsidR="001178A5" w:rsidRPr="00333711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http://Верхнепогромное.рф</w:t>
        </w:r>
      </w:hyperlink>
      <w:r w:rsidR="001178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 на бумажном носителе по адресу: </w:t>
      </w:r>
      <w:r w:rsidR="00FA7D88">
        <w:rPr>
          <w:rFonts w:ascii="Times New Roman" w:hAnsi="Times New Roman" w:cs="Times New Roman"/>
          <w:bCs/>
          <w:sz w:val="28"/>
          <w:szCs w:val="28"/>
          <w:lang w:eastAsia="ru-RU"/>
        </w:rPr>
        <w:t>404167 Волгоградская область, Среднеахтубинский район, с. Верхнепогромное, ул. Центральная, 37, с 08-00 ч. до 16-00 ч. (с 12-00ч. до 13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 ч. перерыв).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обобщает замечания и (или) предложения, полученные в ходе общественного обсуждения проекта муниципальной программы и направляет данную информацию на рассмотрение в общественную комиссию.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подготовленной администраци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(нецелесообразности)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обоснованности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(необоснованности)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возможности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(невозможности)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r w:rsidR="00FA7D88"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в сети Интернет.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поступление замечаний и (или) предложений по проекту муниципальной программы в адрес рабочей группы администрации</w:t>
      </w:r>
      <w:r w:rsidR="00FA7D88"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срок, установленный для общественного обсуждения, не является препятствием для ее утверждения.</w:t>
      </w: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7D88" w:rsidRPr="00FA7D88" w:rsidRDefault="00FA7D88" w:rsidP="00FA7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CF3CF8" w:rsidRDefault="00FA7D88" w:rsidP="00FA7D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D88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    К.К. Башулов</w:t>
      </w:r>
    </w:p>
    <w:p w:rsidR="00CF3CF8" w:rsidRDefault="00B76E76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6E76" w:rsidRDefault="00B76E76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6E76" w:rsidRDefault="00B76E76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6E76" w:rsidRDefault="00B76E76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4CAE" w:rsidRDefault="00784CAE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391F" w:rsidRDefault="009D39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391F" w:rsidRDefault="009D39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391F" w:rsidRPr="003F73A2" w:rsidRDefault="009D391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 Порядку проведения  общественного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обсуждения проекта муниципальной программы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формирования современной городской</w:t>
      </w:r>
      <w:r w:rsidR="003272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среды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год,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утвержденного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решением</w:t>
      </w:r>
    </w:p>
    <w:p w:rsidR="008A0E91" w:rsidRDefault="003272F0" w:rsidP="00784CA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сельской Думы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4CAE" w:rsidRPr="00784C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</w:t>
      </w:r>
    </w:p>
    <w:p w:rsidR="008A0E91" w:rsidRDefault="00784CAE" w:rsidP="00784CA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4CAE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ления </w:t>
      </w:r>
    </w:p>
    <w:p w:rsidR="00784CAE" w:rsidRDefault="00784CAE" w:rsidP="00784CA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Среднеахтубинского района </w:t>
      </w:r>
    </w:p>
    <w:p w:rsidR="00AC0D20" w:rsidRPr="003F73A2" w:rsidRDefault="00AC0D20" w:rsidP="00784CA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от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24 марта 2017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89/155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 итогам проведения общественного обсуждения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682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муниципальной программы: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азработчика:_____________________________________</w:t>
      </w:r>
    </w:p>
    <w:p w:rsidR="00355B06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Даты начала и окончания общественного обсуждения: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C625D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замечания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(учтено/</w:t>
            </w:r>
          </w:p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общественной комиссии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3F73A2" w:rsidRPr="003F73A2" w:rsidRDefault="00AC0D20" w:rsidP="00CF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sectPr w:rsidR="003F73A2" w:rsidRPr="003F73A2" w:rsidSect="00476C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20"/>
    <w:rsid w:val="00027A07"/>
    <w:rsid w:val="000413DD"/>
    <w:rsid w:val="0005625E"/>
    <w:rsid w:val="00060E19"/>
    <w:rsid w:val="001178A5"/>
    <w:rsid w:val="001B0E9D"/>
    <w:rsid w:val="00213924"/>
    <w:rsid w:val="00247A15"/>
    <w:rsid w:val="00252A7B"/>
    <w:rsid w:val="00264397"/>
    <w:rsid w:val="002B3F7C"/>
    <w:rsid w:val="002B6284"/>
    <w:rsid w:val="003272F0"/>
    <w:rsid w:val="00355B06"/>
    <w:rsid w:val="003672D8"/>
    <w:rsid w:val="00380729"/>
    <w:rsid w:val="003A7B64"/>
    <w:rsid w:val="003E195C"/>
    <w:rsid w:val="003F5943"/>
    <w:rsid w:val="003F73A2"/>
    <w:rsid w:val="004033F4"/>
    <w:rsid w:val="00450326"/>
    <w:rsid w:val="0046472A"/>
    <w:rsid w:val="00476C88"/>
    <w:rsid w:val="00580304"/>
    <w:rsid w:val="005F68BD"/>
    <w:rsid w:val="00601E87"/>
    <w:rsid w:val="006926B3"/>
    <w:rsid w:val="006A56F9"/>
    <w:rsid w:val="00736822"/>
    <w:rsid w:val="00784CAE"/>
    <w:rsid w:val="0087113D"/>
    <w:rsid w:val="008850C9"/>
    <w:rsid w:val="0089198D"/>
    <w:rsid w:val="008A0E91"/>
    <w:rsid w:val="008B64B3"/>
    <w:rsid w:val="00952398"/>
    <w:rsid w:val="00963848"/>
    <w:rsid w:val="009D391F"/>
    <w:rsid w:val="00A632D7"/>
    <w:rsid w:val="00AC0D20"/>
    <w:rsid w:val="00AC5704"/>
    <w:rsid w:val="00AC7EC1"/>
    <w:rsid w:val="00B7007A"/>
    <w:rsid w:val="00B76E76"/>
    <w:rsid w:val="00BB550E"/>
    <w:rsid w:val="00BD2303"/>
    <w:rsid w:val="00C04FD9"/>
    <w:rsid w:val="00C70B10"/>
    <w:rsid w:val="00CE093E"/>
    <w:rsid w:val="00CF3CF8"/>
    <w:rsid w:val="00D24B6A"/>
    <w:rsid w:val="00D761B4"/>
    <w:rsid w:val="00D90966"/>
    <w:rsid w:val="00DC625D"/>
    <w:rsid w:val="00DD5F16"/>
    <w:rsid w:val="00DE1B90"/>
    <w:rsid w:val="00E4661F"/>
    <w:rsid w:val="00EE1341"/>
    <w:rsid w:val="00F04F8C"/>
    <w:rsid w:val="00FA7D88"/>
    <w:rsid w:val="00FC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B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42;&#1077;&#1088;&#1093;&#1085;&#1077;&#1087;&#1086;&#1075;&#1088;&#1086;&#1084;&#1085;&#1086;&#107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42;&#1077;&#1088;&#1093;&#1085;&#1077;&#1087;&#1086;&#1075;&#1088;&#1086;&#1084;&#1085;&#1086;&#1077;.&#1088;&#1092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User</cp:lastModifiedBy>
  <cp:revision>25</cp:revision>
  <cp:lastPrinted>2017-03-31T06:01:00Z</cp:lastPrinted>
  <dcterms:created xsi:type="dcterms:W3CDTF">2017-03-11T09:27:00Z</dcterms:created>
  <dcterms:modified xsi:type="dcterms:W3CDTF">2017-06-09T05:19:00Z</dcterms:modified>
</cp:coreProperties>
</file>